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Commercial Finance Broker</w:t>
      </w:r>
    </w:p>
    <w:p>
      <w:pPr>
        <w:spacing w:after="100" w:line="260"/>
      </w:pPr>
      <w:r>
        <w:t xml:space="preserve">Assess business and commercial property finance needs, compare suitable funding structures and coordinate complex applications within the appointment's agreed authority.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Brokerage principal or commercial lending director]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Clarify the financing purpose, entity structure, cash flow and security requirements.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financial information and identify assumptions requiring further evidence.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Research funding structures and lender criteria relevant to the actual transaction.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a documented proposal and explain material conditions to the client.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entity, guarantor and security information through application and settlement.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the relationship and agreed review dates for ongoing facilities.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with commercial lending and business financial statements.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explain cash flow, security and structure considerations clearly.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Confirmed authority and relevant training for the actual products and activities assigned.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coordination across multiple entities and external advisers.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Commercial property finance | Cash-flow analysis | Business lending structures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Business clients, accountants, legal advisers, analysts and lenders.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Confirm product scope, transaction authority and lender research standards.</w:t>
      </w:r>
    </w:p>
    <w:p>
      <w:pPr>
        <w:spacing w:after="100" w:line="260"/>
      </w:pPr>
      <w:r>
        <w:t xml:space="preserve">60 days: Manage allocated proposals with clear entity and evidence records.</w:t>
      </w:r>
    </w:p>
    <w:p>
      <w:pPr>
        <w:spacing w:after="100" w:line="260"/>
      </w:pPr>
      <w:r>
        <w:t xml:space="preserve">90 days: Review application quality and improve a repeat commercial information gap.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approach a proposal where the property security is strong but repayment cash flow is uncertain?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commercial funding brief and supplied financial statements. Identify information gaps, compare permitted structures and outline the questions for lender and client review.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owrvoqox8dpkpqz-sh9hs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ln3xw-xhtigwyb5xwik3k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ojmza-w7t45xv1toual-y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-qecnunbkro-tvqjvxtbe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imezpiglrzfsueg82wr0t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owrvoqox8dpkpqz-sh9hs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ln3xw-xhtigwyb5xwik3k" Type="http://schemas.openxmlformats.org/officeDocument/2006/relationships/hyperlink" Target="https://www.fairwork.gov.au/starting-employment/job-ads" TargetMode="External"/><Relationship Id="rIdojmza-w7t45xv1toual-y" Type="http://schemas.openxmlformats.org/officeDocument/2006/relationships/hyperlink" Target="https://www.fairwork.gov.au/starting-employment/hiring-employees" TargetMode="External"/><Relationship Id="rId-qecnunbkro-tvqjvxtbe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imezpiglrzfsueg82wr0t" Type="http://schemas.openxmlformats.org/officeDocument/2006/relationships/hyperlink" Target="https://mortgagetalent.com.au/resources/job-descriptions/commercial-finance-brok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Finance Broker - job description template</dc:title>
  <dc:subject>Editable mortgage industry role template</dc:subject>
  <dc:creator>Mortgage Talent</dc:creator>
  <cp:keywords>Commercial Finance Broker, job description, mortgage industry</cp:keywords>
  <dc:description>Assess business and commercial property finance needs, compare suitable funding structures and coordinate complex applications within the appointment's agreed authority.</dc:description>
  <cp:lastModifiedBy>Un-named</cp:lastModifiedBy>
  <cp:revision>1</cp:revision>
  <dcterms:created xsi:type="dcterms:W3CDTF">2026-10-10T07:49:56.875Z</dcterms:created>
  <dcterms:modified xsi:type="dcterms:W3CDTF">2026-10-10T07:49:56.875Z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