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line="260"/>
      </w:pPr>
      <w:r>
        <w:rPr>
          <w:b/>
          <w:bCs/>
          <w:color w:val="174D39"/>
          <w:sz w:val="16"/>
          <w:szCs w:val="16"/>
        </w:rPr>
        <w:t xml:space="preserve">JOB DESCRIPTION TEMPLATE</w:t>
      </w:r>
    </w:p>
    <w:p>
      <w:pPr>
        <w:pStyle w:val="Heading1"/>
        <w:keepNext/>
        <w:spacing w:after="140" w:before="180"/>
      </w:pPr>
      <w:r>
        <w:t xml:space="preserve">Mortgage Property Valuer</w:t>
      </w:r>
    </w:p>
    <w:p>
      <w:pPr>
        <w:spacing w:after="100" w:line="260"/>
      </w:pPr>
      <w:r>
        <w:t xml:space="preserve">Prepare evidence-based property valuations for lending purposes within the valuer's confirmed qualifications, appointment and professional scope.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7686"/>
      </w:tblGrid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Organisation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[Organisation name]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Location &amp; work model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[Location; onsite, hybrid or remote]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Employment type &amp; hours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[Employment type, weekly hours and time-zone overlap]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Remuneration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[Confirmed pay range, currency, superannuation and any incentive terms]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Reports to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[Named manager; suggested position: Valuation manager or practice principal]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Systems &amp; access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[Approved systems, records and access scope]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Authority &amp; supervision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[Permitted tasks, decisions, reviewer and escalation route]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Required qualifications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[Employer-confirmed licences, registrations, training or accreditations]</w:t>
            </w:r>
          </w:p>
        </w:tc>
      </w:tr>
    </w:tbl>
    <w:p>
      <w:pPr>
        <w:pStyle w:val="Heading2"/>
        <w:keepNext/>
        <w:spacing w:after="90" w:before="160"/>
      </w:pPr>
      <w:r>
        <w:t xml:space="preserve">About the organisation</w:t>
      </w:r>
    </w:p>
    <w:p>
      <w:pPr>
        <w:spacing w:after="100" w:line="260"/>
      </w:pPr>
      <w:r>
        <w:t xml:space="preserve">[Describe the actual business, team and customers in two or three factual sentences.]</w:t>
      </w:r>
    </w:p>
    <w:p>
      <w:pPr>
        <w:pStyle w:val="Heading2"/>
        <w:keepNext/>
        <w:spacing w:after="90" w:before="160"/>
      </w:pPr>
      <w:r>
        <w:t xml:space="preserve">Key responsibilities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Confirm the instruction, purpose, property details and permitted scope.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Inspect and research the property using appropriate evidence sources.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Assess comparable evidence and record material assumptions and limitations.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Prepare a reasoned valuation report in the required format.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Refer conflicts, scope changes or unsupported assumptions for review.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Maintain workpapers and respond to factual report queries through approved channels.</w:t>
      </w:r>
    </w:p>
    <w:p>
      <w:pPr>
        <w:pStyle w:val="Heading1"/>
        <w:pageBreakBefore/>
      </w:pPr>
      <w:r>
        <w:t xml:space="preserve">Capabilities &amp; first 90 days</w:t>
      </w:r>
    </w:p>
    <w:p>
      <w:pPr>
        <w:pStyle w:val="Heading2"/>
        <w:keepNext/>
        <w:spacing w:after="90" w:before="160"/>
      </w:pPr>
      <w:r>
        <w:t xml:space="preserve">Essential capabilities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Employer-confirmed valuation qualifications, registration and professional requirements for the relevant jurisdiction and appointment.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Experience with the property types and valuation methods assigned.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Strong comparable-evidence analysis and report writing.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Ability to document limitations and maintain professional independence.</w:t>
      </w:r>
    </w:p>
    <w:p>
      <w:pPr>
        <w:pStyle w:val="Heading2"/>
        <w:keepNext/>
        <w:spacing w:after="90" w:before="160"/>
      </w:pPr>
      <w:r>
        <w:t xml:space="preserve">Useful experience</w:t>
      </w:r>
    </w:p>
    <w:p>
      <w:pPr>
        <w:spacing w:after="100" w:line="260"/>
      </w:pPr>
      <w:r>
        <w:t xml:space="preserve">Residential property valuation | Comparable sales analysis | Valuation report review</w:t>
      </w:r>
    </w:p>
    <w:p>
      <w:pPr>
        <w:spacing w:after="100" w:line="260"/>
      </w:pPr>
      <w:r>
        <w:t xml:space="preserve">Keep these desirable rather than essential unless the work requires them on day one.</w:t>
      </w:r>
    </w:p>
    <w:p>
      <w:pPr>
        <w:pStyle w:val="Heading2"/>
        <w:keepNext/>
        <w:spacing w:after="90" w:before="160"/>
      </w:pPr>
      <w:r>
        <w:t xml:space="preserve">Working relationships</w:t>
      </w:r>
    </w:p>
    <w:p>
      <w:pPr>
        <w:spacing w:after="100" w:line="260"/>
      </w:pPr>
      <w:r>
        <w:t xml:space="preserve">Lender valuation contacts, property access contacts and review valuers. Confirm the actual owners and handoff routes.</w:t>
      </w:r>
    </w:p>
    <w:p>
      <w:pPr>
        <w:pStyle w:val="Heading2"/>
        <w:keepNext/>
        <w:spacing w:after="90" w:before="160"/>
      </w:pPr>
      <w:r>
        <w:t xml:space="preserve">First 90 days</w:t>
      </w:r>
    </w:p>
    <w:p>
      <w:pPr>
        <w:spacing w:after="100" w:line="260"/>
      </w:pPr>
      <w:r>
        <w:t xml:space="preserve">Agree the pace, reviewer and measures with the person you hire.</w:t>
      </w:r>
    </w:p>
    <w:p>
      <w:pPr>
        <w:spacing w:after="100" w:line="260"/>
      </w:pPr>
      <w:r>
        <w:t xml:space="preserve">30 days: Confirm appointment scope, property coverage and review standards.</w:t>
      </w:r>
    </w:p>
    <w:p>
      <w:pPr>
        <w:spacing w:after="100" w:line="260"/>
      </w:pPr>
      <w:r>
        <w:t xml:space="preserve">60 days: Complete allocated reports with traceable evidence and clear assumptions.</w:t>
      </w:r>
    </w:p>
    <w:p>
      <w:pPr>
        <w:spacing w:after="100" w:line="260"/>
      </w:pPr>
      <w:r>
        <w:t xml:space="preserve">90 days: Review returned report queries and improve one evidence or reporting practice.</w:t>
      </w:r>
    </w:p>
    <w:p>
      <w:pPr>
        <w:pStyle w:val="Heading2"/>
        <w:keepNext/>
        <w:spacing w:after="90" w:before="160"/>
      </w:pPr>
      <w:r>
        <w:t xml:space="preserve">How to apply</w:t>
      </w:r>
    </w:p>
    <w:p>
      <w:pPr>
        <w:spacing w:after="100" w:line="260"/>
      </w:pPr>
      <w:r>
        <w:t xml:space="preserve">[Application route, closing date, contact and any adjustment request process.]</w:t>
      </w:r>
    </w:p>
    <w:p>
      <w:pPr>
        <w:spacing w:after="100" w:line="260"/>
      </w:pPr>
      <w:r>
        <w:t xml:space="preserve">We assess candidates against the role-relevant criteria and use a fictional work sample.</w:t>
      </w:r>
    </w:p>
    <w:p>
      <w:pPr>
        <w:pStyle w:val="Heading1"/>
        <w:pageBreakBefore/>
      </w:pPr>
      <w:r>
        <w:t xml:space="preserve">Hiring guide</w:t>
      </w:r>
    </w:p>
    <w:p>
      <w:pPr>
        <w:spacing w:after="100" w:line="260"/>
      </w:pPr>
      <w:r>
        <w:t xml:space="preserve">For the hiring team. Remove this page from the public advertisement.</w:t>
      </w:r>
    </w:p>
    <w:p>
      <w:pPr>
        <w:pStyle w:val="Heading2"/>
        <w:keepNext/>
        <w:spacing w:after="90" w:before="160"/>
      </w:pPr>
      <w:r>
        <w:t xml:space="preserve">Interview prompts</w:t>
      </w:r>
    </w:p>
    <w:p>
      <w:pPr>
        <w:spacing w:after="100" w:line="260"/>
      </w:pPr>
      <w:r>
        <w:t xml:space="preserve">1. How would you explain a valuation when recent comparable evidence is limited or materially different?</w:t>
      </w:r>
    </w:p>
    <w:p>
      <w:pPr>
        <w:spacing w:after="100" w:line="260"/>
      </w:pPr>
      <w:r>
        <w:t xml:space="preserve">2. Describe a relevant piece of work, the checks you used and what you did when the instructions or evidence were incomplete.</w:t>
      </w:r>
    </w:p>
    <w:p>
      <w:pPr>
        <w:spacing w:after="100" w:line="260"/>
      </w:pPr>
      <w:r>
        <w:t xml:space="preserve">3. How would you organise competing deadlines, record your decisions and escalate a risk to the next handoff?</w:t>
      </w:r>
    </w:p>
    <w:p>
      <w:pPr>
        <w:pStyle w:val="Heading2"/>
        <w:keepNext/>
        <w:spacing w:after="90" w:before="160"/>
      </w:pPr>
      <w:r>
        <w:t xml:space="preserve">A practical work sample</w:t>
      </w:r>
    </w:p>
    <w:p>
      <w:pPr>
        <w:spacing w:after="100" w:line="260"/>
      </w:pPr>
      <w:r>
        <w:t xml:space="preserve">Use fictional property details and supplied comparable records to write an evidence assessment and limitations note. The exercise is not a real property valuation or lending recommendation.</w:t>
      </w:r>
    </w:p>
    <w:p>
      <w:pPr>
        <w:spacing w:after="100" w:line="260"/>
      </w:pPr>
      <w:r>
        <w:t xml:space="preserve">Use fictional information and the same instructions for shortlisted applicants. Agree adjustments and timing beforehand. Score accuracy, reasoning, communication and appropriate escalation; this exercise should not produce live client work.</w:t>
      </w:r>
    </w:p>
    <w:p>
      <w:pPr>
        <w:pStyle w:val="Heading2"/>
        <w:keepNext/>
        <w:spacing w:after="90" w:before="160"/>
      </w:pPr>
      <w:r>
        <w:t xml:space="preserve">Before posting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Replace every bracketed field with the actual employer, working arrangement and pay terms.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Choose the duties the role will really own; remove unrelated tasks and separate essential from trainable skills.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Confirm the task authority, supervision, qualifications and access with the responsible employer or licensee.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Check pay and conditions against the applicable employment requirements before advertising.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Use the same role-relevant selection criteria and fictional work sample for shortlisted applicants; invite adjustment requests.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Name the reviewer and agree realistic first-90-day outcomes before the person starts.</w:t>
      </w:r>
    </w:p>
    <w:p>
      <w:pPr>
        <w:pStyle w:val="Heading2"/>
        <w:keepNext/>
        <w:spacing w:after="90" w:before="160"/>
      </w:pPr>
      <w:r>
        <w:t xml:space="preserve">Employer reference points</w:t>
      </w:r>
    </w:p>
    <w:p>
      <w:pPr>
        <w:spacing w:after="60"/>
      </w:pPr>
      <w:hyperlink w:history="1" r:id="rIda3brdiaodzowpebghfykh">
        <w:r>
          <w:rPr>
            <w:rStyle w:val="Hyperlink"/>
            <w:sz w:val="17"/>
            <w:szCs w:val="17"/>
          </w:rPr>
          <w:t xml:space="preserve">ASIC: Credit authority and appointment</w:t>
        </w:r>
      </w:hyperlink>
    </w:p>
    <w:p>
      <w:pPr>
        <w:spacing w:after="60"/>
      </w:pPr>
      <w:hyperlink w:history="1" r:id="rId7lbzfgs1ldcjswpgmwcqf">
        <w:r>
          <w:rPr>
            <w:rStyle w:val="Hyperlink"/>
            <w:sz w:val="17"/>
            <w:szCs w:val="17"/>
          </w:rPr>
          <w:t xml:space="preserve">Fair Work Ombudsman: Pay and advertised conditions</w:t>
        </w:r>
      </w:hyperlink>
    </w:p>
    <w:p>
      <w:pPr>
        <w:spacing w:after="60"/>
      </w:pPr>
      <w:hyperlink w:history="1" r:id="rIdu0nnlb0tmes38dvmylj9m">
        <w:r>
          <w:rPr>
            <w:rStyle w:val="Hyperlink"/>
            <w:sz w:val="17"/>
            <w:szCs w:val="17"/>
          </w:rPr>
          <w:t xml:space="preserve">Fair Work Ombudsman: A clear hiring process</w:t>
        </w:r>
      </w:hyperlink>
    </w:p>
    <w:p>
      <w:pPr>
        <w:spacing w:after="60"/>
      </w:pPr>
      <w:hyperlink w:history="1" r:id="rIdb0dylg59jtis1xobj1nga">
        <w:r>
          <w:rPr>
            <w:rStyle w:val="Hyperlink"/>
            <w:sz w:val="17"/>
            <w:szCs w:val="17"/>
          </w:rPr>
          <w:t xml:space="preserve">OAIC: Information and access</w:t>
        </w:r>
      </w:hyperlink>
    </w:p>
    <w:p>
      <w:pPr>
        <w:spacing w:before="120"/>
      </w:pPr>
      <w:hyperlink w:history="1" r:id="rIddwlr3a6cj5rr0gcxandms">
        <w:r>
          <w:rPr>
            <w:rStyle w:val="Hyperlink"/>
            <w:sz w:val="17"/>
            <w:szCs w:val="17"/>
          </w:rPr>
          <w:t xml:space="preserve">Open this role template online</w:t>
        </w:r>
      </w:hyperlink>
    </w:p>
    <w:sectPr>
      <w:headerReference w:type="default" r:id="rId6"/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D7" w:sz="4" w:space="8"/>
      </w:pBdr>
      <w:spacing w:before="120"/>
    </w:pPr>
    <w:r>
      <w:rPr>
        <w:color w:val="7B8975"/>
        <w:sz w:val="15"/>
        <w:szCs w:val="15"/>
      </w:rPr>
      <w:t xml:space="preserve">Mortgage Talent | 2026-10-10 | </w:t>
    </w:r>
    <w:r>
      <w:rPr>
        <w:color w:val="7B8975"/>
        <w:sz w:val="15"/>
        <w:szCs w:val="15"/>
      </w:rPr>
      <w:t xml:space="preserve">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CE4D7" w:sz="4" w:space="8"/>
      </w:pBdr>
      <w:spacing w:after="120"/>
    </w:pPr>
    <w:r>
      <w:rPr>
        <w:b/>
        <w:bCs/>
        <w:color w:val="174D39"/>
        <w:sz w:val="16"/>
        <w:szCs w:val="16"/>
      </w:rPr>
      <w:t xml:space="preserve">MORTGAGE TALENT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24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4F3D"/>
        <w:sz w:val="20"/>
        <w:szCs w:val="20"/>
      </w:rPr>
    </w:rPrDefault>
    <w:pPrDefault>
      <w:pPr>
        <w:spacing w:after="100" w:line="26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40" w:before="160"/>
      <w:outlineLvl w:val="0"/>
    </w:pPr>
    <w:rPr>
      <w:rFonts w:ascii="Arial" w:cs="Arial" w:eastAsia="Arial" w:hAnsi="Arial"/>
      <w:b/>
      <w:bCs/>
      <w:color w:val="174D39"/>
      <w:sz w:val="42"/>
      <w:szCs w:val="42"/>
    </w:rPr>
  </w:style>
  <w:style w:type="paragraph" w:styleId="Heading2">
    <w:name w:val="Heading 2"/>
    <w:basedOn w:val="Normal"/>
    <w:next w:val="Normal"/>
    <w:qFormat/>
    <w:pPr>
      <w:spacing w:after="90" w:before="160"/>
      <w:outlineLvl w:val="1"/>
    </w:pPr>
    <w:rPr>
      <w:rFonts w:ascii="Arial" w:cs="Arial" w:eastAsia="Arial" w:hAnsi="Arial"/>
      <w:b/>
      <w:bCs/>
      <w:color w:val="174D39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a3brdiaodzowpebghfykh" Type="http://schemas.openxmlformats.org/officeDocument/2006/relationships/hyperlink" Target="https://www.asic.gov.au/for-finance-professionals/credit-licensees/applying-for-and-managing-your-credit-licence/faqs-getting-a-credit-licence" TargetMode="External"/><Relationship Id="rId7lbzfgs1ldcjswpgmwcqf" Type="http://schemas.openxmlformats.org/officeDocument/2006/relationships/hyperlink" Target="https://www.fairwork.gov.au/starting-employment/job-ads" TargetMode="External"/><Relationship Id="rIdu0nnlb0tmes38dvmylj9m" Type="http://schemas.openxmlformats.org/officeDocument/2006/relationships/hyperlink" Target="https://www.fairwork.gov.au/starting-employment/hiring-employees" TargetMode="External"/><Relationship Id="rIdb0dylg59jtis1xobj1nga" Type="http://schemas.openxmlformats.org/officeDocument/2006/relationships/hyperlink" Target="https://www.oaic.gov.au/privacy/australian-privacy-principles/australian-privacy-principles-guidelines/chapter-11-app-11-security-of-personal-information" TargetMode="External"/><Relationship Id="rIddwlr3a6cj5rr0gcxandms" Type="http://schemas.openxmlformats.org/officeDocument/2006/relationships/hyperlink" Target="https://mortgagetalent.com.au/resources/job-descriptions/mortgage-property-valuer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Mortgage Property Valuer - job description template</dc:title>
  <dc:subject>Editable mortgage industry role template</dc:subject>
  <dc:creator>Mortgage Talent</dc:creator>
  <cp:keywords>Mortgage Property Valuer, job description, mortgage industry</cp:keywords>
  <dc:description>Prepare evidence-based property valuations for lending purposes within the valuer's confirmed qualifications, appointment and professional scope.</dc:description>
  <cp:lastModifiedBy>Un-named</cp:lastModifiedBy>
  <cp:revision>1</cp:revision>
  <dcterms:created xsi:type="dcterms:W3CDTF">2026-10-10T07:49:56.999Z</dcterms:created>
  <dcterms:modified xsi:type="dcterms:W3CDTF">2026-10-10T07:49:56.999Z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